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5336F" w14:textId="77777777" w:rsidR="00E50ACD" w:rsidRDefault="00E50ACD" w:rsidP="00E50ACD">
      <w:pPr>
        <w:jc w:val="center"/>
        <w:rPr>
          <w:sz w:val="28"/>
          <w:szCs w:val="28"/>
          <w:lang w:val="en-GB"/>
        </w:rPr>
      </w:pPr>
    </w:p>
    <w:p w14:paraId="2442F4E4" w14:textId="77777777" w:rsidR="00E50ACD" w:rsidRPr="008B6D45" w:rsidRDefault="00E50ACD" w:rsidP="00E50ACD">
      <w:pPr>
        <w:jc w:val="center"/>
        <w:rPr>
          <w:sz w:val="28"/>
          <w:szCs w:val="28"/>
          <w:lang w:val="en-GB"/>
        </w:rPr>
      </w:pPr>
      <w:r w:rsidRPr="008B6D45">
        <w:rPr>
          <w:sz w:val="28"/>
          <w:szCs w:val="28"/>
        </w:rPr>
        <w:t>7.1.5 Implementation of the Renewable Energy Directive (permitting, guarantees of origin, prosumers)</w:t>
      </w:r>
    </w:p>
    <w:p w14:paraId="37B99C9B" w14:textId="77777777" w:rsidR="00E50ACD" w:rsidRDefault="00E50ACD" w:rsidP="00E50ACD">
      <w:pPr>
        <w:rPr>
          <w:lang w:val="en-GB"/>
        </w:rPr>
      </w:pPr>
    </w:p>
    <w:p w14:paraId="66B9AE9D" w14:textId="77777777" w:rsidR="00E50ACD" w:rsidRDefault="00E50ACD" w:rsidP="00E50ACD"/>
    <w:tbl>
      <w:tblPr>
        <w:tblStyle w:val="GridTable1Light"/>
        <w:tblW w:w="8926" w:type="dxa"/>
        <w:tblLook w:val="0400" w:firstRow="0" w:lastRow="0" w:firstColumn="0" w:lastColumn="0" w:noHBand="0" w:noVBand="1"/>
      </w:tblPr>
      <w:tblGrid>
        <w:gridCol w:w="2122"/>
        <w:gridCol w:w="6804"/>
      </w:tblGrid>
      <w:tr w:rsidR="00E50ACD" w:rsidRPr="002C702E" w14:paraId="197C5CF9" w14:textId="77777777" w:rsidTr="009C6824">
        <w:trPr>
          <w:trHeight w:val="399"/>
        </w:trPr>
        <w:tc>
          <w:tcPr>
            <w:tcW w:w="2122" w:type="dxa"/>
            <w:shd w:val="clear" w:color="auto" w:fill="0E2841" w:themeFill="text2"/>
          </w:tcPr>
          <w:p w14:paraId="7C6CA1BC"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6E85AE4B" w14:textId="77777777" w:rsidR="00E50ACD" w:rsidRPr="008A26A0"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8A26A0">
              <w:rPr>
                <w:rFonts w:ascii="Aptos" w:eastAsia="Times New Roman" w:hAnsi="Aptos" w:cs="Times New Roman"/>
                <w:color w:val="000000"/>
                <w:kern w:val="0"/>
                <w:sz w:val="20"/>
                <w:szCs w:val="20"/>
                <w:lang w:val="en-GB" w:eastAsia="en-GB"/>
                <w14:ligatures w14:val="none"/>
              </w:rPr>
              <w:t xml:space="preserve">7.1. </w:t>
            </w:r>
            <w:r w:rsidRPr="008A26A0">
              <w:rPr>
                <w:sz w:val="20"/>
                <w:szCs w:val="20"/>
              </w:rPr>
              <w:t>Energy sector transformation</w:t>
            </w:r>
          </w:p>
        </w:tc>
      </w:tr>
      <w:tr w:rsidR="00E50ACD" w:rsidRPr="002C702E" w14:paraId="2C6EC1E9" w14:textId="77777777" w:rsidTr="009C6824">
        <w:trPr>
          <w:trHeight w:val="393"/>
        </w:trPr>
        <w:tc>
          <w:tcPr>
            <w:tcW w:w="2122" w:type="dxa"/>
            <w:shd w:val="clear" w:color="auto" w:fill="0E2841" w:themeFill="text2"/>
          </w:tcPr>
          <w:p w14:paraId="53077B52"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6112E1D6" w14:textId="77777777" w:rsidR="00E50ACD" w:rsidRPr="008A26A0" w:rsidRDefault="00E50ACD" w:rsidP="009C6824">
            <w:pPr>
              <w:spacing w:before="120" w:after="120"/>
              <w:rPr>
                <w:rFonts w:ascii="Aptos" w:eastAsia="Times New Roman" w:hAnsi="Aptos" w:cs="Times New Roman"/>
                <w:color w:val="000000"/>
                <w:kern w:val="0"/>
                <w:sz w:val="20"/>
                <w:szCs w:val="20"/>
                <w:lang w:val="en-GB" w:eastAsia="en-GB"/>
                <w14:ligatures w14:val="none"/>
              </w:rPr>
            </w:pPr>
            <w:r>
              <w:rPr>
                <w:sz w:val="20"/>
                <w:szCs w:val="20"/>
              </w:rPr>
              <w:t>7</w:t>
            </w:r>
            <w:r w:rsidRPr="008A26A0">
              <w:rPr>
                <w:sz w:val="20"/>
                <w:szCs w:val="20"/>
              </w:rPr>
              <w:t>.1.</w:t>
            </w:r>
            <w:r>
              <w:rPr>
                <w:sz w:val="20"/>
                <w:szCs w:val="20"/>
              </w:rPr>
              <w:t>5</w:t>
            </w:r>
            <w:r w:rsidRPr="008A26A0">
              <w:rPr>
                <w:sz w:val="20"/>
                <w:szCs w:val="20"/>
              </w:rPr>
              <w:t xml:space="preserve"> </w:t>
            </w:r>
            <w:r w:rsidRPr="00F50012">
              <w:rPr>
                <w:sz w:val="20"/>
                <w:szCs w:val="20"/>
              </w:rPr>
              <w:t xml:space="preserve">Implementation of the Renewable Energy Directive (permitting, guarantees of origin, prosumers) </w:t>
            </w:r>
          </w:p>
        </w:tc>
      </w:tr>
      <w:tr w:rsidR="00E50ACD" w:rsidRPr="002C702E" w14:paraId="719BD30B" w14:textId="77777777" w:rsidTr="009C6824">
        <w:trPr>
          <w:trHeight w:val="393"/>
        </w:trPr>
        <w:tc>
          <w:tcPr>
            <w:tcW w:w="2122" w:type="dxa"/>
            <w:shd w:val="clear" w:color="auto" w:fill="0E2841" w:themeFill="text2"/>
          </w:tcPr>
          <w:p w14:paraId="3011C217"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44FB9E8" w14:textId="77777777" w:rsidR="00E50ACD" w:rsidRPr="00DC43F5"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B93022">
              <w:rPr>
                <w:sz w:val="20"/>
                <w:szCs w:val="20"/>
              </w:rPr>
              <w:t>Existence of a legally designated SCP with a live digital one-stop portal, published procedures and service standards, and evidence that applications are being processed via the SCP</w:t>
            </w:r>
            <w:r>
              <w:rPr>
                <w:sz w:val="20"/>
                <w:szCs w:val="20"/>
              </w:rPr>
              <w:t>.</w:t>
            </w:r>
          </w:p>
        </w:tc>
      </w:tr>
      <w:tr w:rsidR="00E50ACD" w:rsidRPr="002C702E" w14:paraId="3E6C22E0" w14:textId="77777777" w:rsidTr="009C6824">
        <w:trPr>
          <w:trHeight w:val="759"/>
        </w:trPr>
        <w:tc>
          <w:tcPr>
            <w:tcW w:w="2122" w:type="dxa"/>
            <w:shd w:val="clear" w:color="auto" w:fill="0E2841" w:themeFill="text2"/>
          </w:tcPr>
          <w:p w14:paraId="01FC3E11"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44E5C966" w14:textId="77777777" w:rsidR="00E50ACD" w:rsidRPr="00D07F56" w:rsidRDefault="00E50ACD" w:rsidP="00E50ACD">
            <w:pPr>
              <w:pStyle w:val="ListParagraph"/>
              <w:numPr>
                <w:ilvl w:val="0"/>
                <w:numId w:val="7"/>
              </w:numPr>
              <w:spacing w:before="120" w:after="120"/>
              <w:jc w:val="both"/>
              <w:rPr>
                <w:rFonts w:ascii="Aptos" w:eastAsia="Times New Roman" w:hAnsi="Aptos" w:cs="Times New Roman"/>
                <w:color w:val="000000"/>
                <w:kern w:val="0"/>
                <w:sz w:val="20"/>
                <w:szCs w:val="20"/>
                <w:lang w:val="en-GB" w:eastAsia="en-GB"/>
                <w14:ligatures w14:val="none"/>
              </w:rPr>
            </w:pPr>
            <w:r w:rsidRPr="00D07F56">
              <w:rPr>
                <w:sz w:val="20"/>
                <w:szCs w:val="20"/>
              </w:rPr>
              <w:t>Designate and operationalize a single contact point for RES permitting consistent with RED II Directive</w:t>
            </w:r>
          </w:p>
        </w:tc>
      </w:tr>
      <w:tr w:rsidR="00E50ACD" w:rsidRPr="002C702E" w14:paraId="0CABE9ED" w14:textId="77777777" w:rsidTr="009C6824">
        <w:trPr>
          <w:trHeight w:val="559"/>
        </w:trPr>
        <w:tc>
          <w:tcPr>
            <w:tcW w:w="2122" w:type="dxa"/>
            <w:shd w:val="clear" w:color="auto" w:fill="0E2841" w:themeFill="text2"/>
          </w:tcPr>
          <w:p w14:paraId="5582CD88" w14:textId="77777777" w:rsidR="00E50ACD" w:rsidRPr="002C702E" w:rsidRDefault="00E50ACD"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613B24D" w14:textId="77777777" w:rsidR="00E50ACD" w:rsidRPr="002C702E"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2025</w:t>
            </w:r>
          </w:p>
        </w:tc>
      </w:tr>
      <w:tr w:rsidR="00E50ACD" w:rsidRPr="002C702E" w14:paraId="76F9EF89" w14:textId="77777777" w:rsidTr="009C6824">
        <w:trPr>
          <w:trHeight w:val="553"/>
        </w:trPr>
        <w:tc>
          <w:tcPr>
            <w:tcW w:w="2122" w:type="dxa"/>
            <w:shd w:val="clear" w:color="auto" w:fill="0E2841" w:themeFill="text2"/>
          </w:tcPr>
          <w:p w14:paraId="3A39D42F"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78DD38F" w14:textId="77777777" w:rsidR="00E50ACD" w:rsidRPr="008A26A0"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C039B2">
              <w:rPr>
                <w:sz w:val="20"/>
                <w:szCs w:val="20"/>
              </w:rPr>
              <w:t xml:space="preserve">13,587,623.37 </w:t>
            </w:r>
          </w:p>
        </w:tc>
      </w:tr>
      <w:tr w:rsidR="00E50ACD" w:rsidRPr="002C702E" w14:paraId="5515D7A6" w14:textId="77777777" w:rsidTr="009C6824">
        <w:trPr>
          <w:trHeight w:val="535"/>
        </w:trPr>
        <w:tc>
          <w:tcPr>
            <w:tcW w:w="2122" w:type="dxa"/>
            <w:shd w:val="clear" w:color="auto" w:fill="0E2841" w:themeFill="text2"/>
          </w:tcPr>
          <w:p w14:paraId="6D674BC2" w14:textId="77777777" w:rsidR="00E50ACD" w:rsidRPr="002C702E" w:rsidRDefault="00E50ACD" w:rsidP="009C6824">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ED24E62" w14:textId="77777777" w:rsidR="00E50ACD" w:rsidRPr="002C702E"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515FAC">
              <w:rPr>
                <w:rFonts w:ascii="Aptos" w:eastAsia="Times New Roman" w:hAnsi="Aptos" w:cs="Times New Roman"/>
                <w:color w:val="000000"/>
                <w:kern w:val="0"/>
                <w:sz w:val="20"/>
                <w:szCs w:val="20"/>
                <w:lang w:val="en-GB" w:eastAsia="en-GB"/>
                <w14:ligatures w14:val="none"/>
              </w:rPr>
              <w:t xml:space="preserve">Ministry of Mining and Energy (lead); Ministry of Construction, Transport and Infrastructure; </w:t>
            </w:r>
            <w:r>
              <w:rPr>
                <w:rFonts w:ascii="Aptos" w:eastAsia="Times New Roman" w:hAnsi="Aptos" w:cs="Times New Roman"/>
                <w:color w:val="000000"/>
                <w:kern w:val="0"/>
                <w:sz w:val="20"/>
                <w:szCs w:val="20"/>
                <w:lang w:val="en-GB" w:eastAsia="en-GB"/>
                <w14:ligatures w14:val="none"/>
              </w:rPr>
              <w:t>Ministry of Environmental Protection.</w:t>
            </w:r>
          </w:p>
        </w:tc>
      </w:tr>
      <w:tr w:rsidR="00E50ACD" w:rsidRPr="002C702E" w14:paraId="354D4BB8" w14:textId="77777777" w:rsidTr="009C6824">
        <w:trPr>
          <w:trHeight w:val="583"/>
        </w:trPr>
        <w:tc>
          <w:tcPr>
            <w:tcW w:w="2122" w:type="dxa"/>
            <w:shd w:val="clear" w:color="auto" w:fill="0E2841" w:themeFill="text2"/>
          </w:tcPr>
          <w:p w14:paraId="41FED12C" w14:textId="77777777" w:rsidR="00E50ACD" w:rsidRPr="002C702E" w:rsidRDefault="00E50ACD" w:rsidP="009C6824">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67AB64F7" w14:textId="77777777" w:rsidR="00E50ACD" w:rsidRPr="002C702E" w:rsidRDefault="00E50ACD" w:rsidP="009C6824">
            <w:pPr>
              <w:spacing w:before="120" w:after="120"/>
              <w:jc w:val="both"/>
              <w:rPr>
                <w:rFonts w:ascii="Aptos" w:eastAsia="Times New Roman" w:hAnsi="Aptos" w:cs="Times New Roman"/>
                <w:color w:val="000000"/>
                <w:kern w:val="0"/>
                <w:sz w:val="20"/>
                <w:szCs w:val="20"/>
                <w:lang w:val="en-GB" w:eastAsia="en-GB"/>
                <w14:ligatures w14:val="none"/>
              </w:rPr>
            </w:pPr>
            <w:r w:rsidRPr="00722142">
              <w:rPr>
                <w:rFonts w:ascii="Aptos" w:eastAsia="Times New Roman" w:hAnsi="Aptos" w:cs="Times New Roman"/>
                <w:color w:val="000000"/>
                <w:kern w:val="0"/>
                <w:sz w:val="20"/>
                <w:szCs w:val="20"/>
                <w:lang w:val="en-GB" w:eastAsia="en-GB"/>
                <w14:ligatures w14:val="none"/>
              </w:rPr>
              <w:t xml:space="preserve">Renewables Law adopted. The Law provides a basis for guarantees of origin and prosumers, but not for permitting. </w:t>
            </w:r>
          </w:p>
        </w:tc>
      </w:tr>
      <w:tr w:rsidR="00E50ACD" w:rsidRPr="002C702E" w14:paraId="61C89A37" w14:textId="77777777" w:rsidTr="009C6824">
        <w:trPr>
          <w:trHeight w:val="577"/>
        </w:trPr>
        <w:tc>
          <w:tcPr>
            <w:tcW w:w="2122" w:type="dxa"/>
            <w:shd w:val="clear" w:color="auto" w:fill="0E2841" w:themeFill="text2"/>
          </w:tcPr>
          <w:p w14:paraId="715EB293" w14:textId="77777777" w:rsidR="00E50ACD" w:rsidRPr="002C702E" w:rsidRDefault="00E50ACD" w:rsidP="009C6824">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58F59E59" w14:textId="77777777" w:rsidR="00E50ACD" w:rsidRPr="002C702E" w:rsidRDefault="00E50ACD" w:rsidP="009C6824">
            <w:pPr>
              <w:spacing w:before="120" w:after="120"/>
              <w:rPr>
                <w:rFonts w:ascii="Aptos" w:eastAsia="Times New Roman" w:hAnsi="Aptos" w:cs="Times New Roman"/>
                <w:color w:val="000000"/>
                <w:kern w:val="0"/>
                <w:sz w:val="20"/>
                <w:szCs w:val="20"/>
                <w:lang w:val="en-GB" w:eastAsia="en-GB"/>
                <w14:ligatures w14:val="none"/>
              </w:rPr>
            </w:pPr>
            <w:r w:rsidRPr="00521B14">
              <w:rPr>
                <w:sz w:val="20"/>
                <w:szCs w:val="21"/>
              </w:rPr>
              <w:t>Report of Ministry of Mining and Energy</w:t>
            </w:r>
          </w:p>
        </w:tc>
      </w:tr>
    </w:tbl>
    <w:p w14:paraId="67D120AC" w14:textId="77777777" w:rsidR="00E50ACD" w:rsidRDefault="00E50ACD" w:rsidP="00E50ACD">
      <w:pPr>
        <w:rPr>
          <w:lang w:val="en-GB"/>
        </w:rPr>
      </w:pPr>
    </w:p>
    <w:p w14:paraId="5CDF4784" w14:textId="77777777" w:rsidR="00E50ACD" w:rsidRDefault="00E50ACD" w:rsidP="00E50ACD">
      <w:pPr>
        <w:rPr>
          <w:lang w:val="en-GB"/>
        </w:rPr>
      </w:pPr>
    </w:p>
    <w:p w14:paraId="7CC77568" w14:textId="77777777" w:rsidR="00E50ACD" w:rsidRDefault="00E50ACD" w:rsidP="00E50ACD">
      <w:pPr>
        <w:rPr>
          <w:lang w:val="en-GB"/>
        </w:rPr>
      </w:pPr>
    </w:p>
    <w:p w14:paraId="0AF00A8D" w14:textId="77777777" w:rsidR="00E50ACD" w:rsidRPr="002C702E" w:rsidRDefault="00E50ACD" w:rsidP="00E50ACD">
      <w:pPr>
        <w:rPr>
          <w:lang w:val="en-GB"/>
        </w:rPr>
      </w:pPr>
    </w:p>
    <w:p w14:paraId="35D168C3" w14:textId="77777777" w:rsidR="00E50ACD" w:rsidRPr="002C702E" w:rsidRDefault="00E50ACD" w:rsidP="00E50ACD">
      <w:pPr>
        <w:pStyle w:val="Heading1"/>
        <w:numPr>
          <w:ilvl w:val="0"/>
          <w:numId w:val="6"/>
        </w:numPr>
        <w:tabs>
          <w:tab w:val="num" w:pos="360"/>
        </w:tabs>
        <w:ind w:left="1080" w:firstLine="0"/>
        <w:rPr>
          <w:lang w:val="en-GB"/>
        </w:rPr>
      </w:pPr>
      <w:r w:rsidRPr="002C702E">
        <w:rPr>
          <w:lang w:val="en-GB"/>
        </w:rPr>
        <w:t>Analysis</w:t>
      </w:r>
    </w:p>
    <w:p w14:paraId="3DACDAC1" w14:textId="77777777" w:rsidR="00E50ACD" w:rsidRPr="002C702E" w:rsidRDefault="00E50ACD" w:rsidP="00E50ACD">
      <w:pPr>
        <w:rPr>
          <w:lang w:val="en-GB"/>
        </w:rPr>
      </w:pPr>
    </w:p>
    <w:tbl>
      <w:tblPr>
        <w:tblStyle w:val="GridTable1Light"/>
        <w:tblW w:w="0" w:type="auto"/>
        <w:tblLook w:val="0480" w:firstRow="0" w:lastRow="0" w:firstColumn="1" w:lastColumn="0" w:noHBand="0" w:noVBand="1"/>
      </w:tblPr>
      <w:tblGrid>
        <w:gridCol w:w="2263"/>
        <w:gridCol w:w="6753"/>
      </w:tblGrid>
      <w:tr w:rsidR="00E50ACD" w:rsidRPr="002C702E" w14:paraId="7FA472FE"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B50F6C1"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5C171F61" w14:textId="77777777" w:rsidR="00E50ACD" w:rsidRDefault="00E50ACD" w:rsidP="009C6824">
            <w:pPr>
              <w:pStyle w:val="Compact"/>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 xml:space="preserve">The following milestones are defined: </w:t>
            </w:r>
          </w:p>
          <w:p w14:paraId="7E1BC133" w14:textId="77777777" w:rsidR="00E50ACD" w:rsidRDefault="00E50ACD" w:rsidP="00E50ACD">
            <w:pPr>
              <w:pStyle w:val="Compact"/>
              <w:numPr>
                <w:ilvl w:val="0"/>
                <w:numId w:val="4"/>
              </w:numPr>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Single contact point (SPC) legally designated with defined mandate and scope</w:t>
            </w:r>
          </w:p>
          <w:p w14:paraId="09CFB020" w14:textId="77777777" w:rsidR="00E50ACD" w:rsidRPr="00FC4B87" w:rsidRDefault="00E50ACD" w:rsidP="00E50ACD">
            <w:pPr>
              <w:pStyle w:val="Compact"/>
              <w:numPr>
                <w:ilvl w:val="0"/>
                <w:numId w:val="4"/>
              </w:numPr>
              <w:cnfStyle w:val="000000000000" w:firstRow="0" w:lastRow="0" w:firstColumn="0" w:lastColumn="0" w:oddVBand="0" w:evenVBand="0" w:oddHBand="0" w:evenHBand="0" w:firstRowFirstColumn="0" w:firstRowLastColumn="0" w:lastRowFirstColumn="0" w:lastRowLastColumn="0"/>
              <w:rPr>
                <w:sz w:val="20"/>
                <w:szCs w:val="21"/>
              </w:rPr>
            </w:pPr>
            <w:r>
              <w:rPr>
                <w:sz w:val="20"/>
                <w:szCs w:val="21"/>
              </w:rPr>
              <w:t>Public operationalization (p</w:t>
            </w:r>
            <w:r w:rsidRPr="00964404">
              <w:rPr>
                <w:sz w:val="20"/>
                <w:szCs w:val="21"/>
              </w:rPr>
              <w:t>rocedures, standardized forms, and service standards published</w:t>
            </w:r>
            <w:r>
              <w:rPr>
                <w:sz w:val="20"/>
                <w:szCs w:val="21"/>
              </w:rPr>
              <w:t>)</w:t>
            </w:r>
            <w:r w:rsidRPr="00964404">
              <w:rPr>
                <w:sz w:val="20"/>
                <w:szCs w:val="21"/>
              </w:rPr>
              <w:t xml:space="preserve"> </w:t>
            </w:r>
          </w:p>
        </w:tc>
      </w:tr>
      <w:tr w:rsidR="00E50ACD" w:rsidRPr="002C702E" w14:paraId="3732381D"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2DC8364"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achievement of each milestone</w:t>
            </w:r>
          </w:p>
        </w:tc>
        <w:tc>
          <w:tcPr>
            <w:tcW w:w="6753" w:type="dxa"/>
          </w:tcPr>
          <w:p w14:paraId="40A97C9A" w14:textId="77777777" w:rsidR="00E50ACD" w:rsidRPr="004B3E97" w:rsidRDefault="00E50ACD" w:rsidP="00E50ACD">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1"/>
                <w:lang w:val="en-US"/>
              </w:rPr>
            </w:pPr>
            <w:r w:rsidRPr="004A2543">
              <w:rPr>
                <w:sz w:val="20"/>
                <w:szCs w:val="21"/>
                <w:lang w:val="en-US"/>
              </w:rPr>
              <w:t>The single contact point (SPC) for strategic renewable energy projects has been established within the Ministry of Mining and Energy</w:t>
            </w:r>
            <w:r>
              <w:rPr>
                <w:sz w:val="20"/>
                <w:szCs w:val="21"/>
                <w:lang w:val="en-US"/>
              </w:rPr>
              <w:t>, after the signature of cooperation agreement between the Ministry of Mining and Energy, Ministry of Construction, Transport and Infrastructure and Ministry of Environmental Protection.</w:t>
            </w:r>
            <w:r>
              <w:rPr>
                <w:rStyle w:val="FootnoteReference"/>
                <w:sz w:val="20"/>
                <w:szCs w:val="21"/>
                <w:lang w:val="en-US"/>
              </w:rPr>
              <w:footnoteReference w:id="1"/>
            </w:r>
            <w:r>
              <w:rPr>
                <w:sz w:val="20"/>
                <w:szCs w:val="21"/>
                <w:lang w:val="en-US"/>
              </w:rPr>
              <w:t xml:space="preserve"> It functions</w:t>
            </w:r>
            <w:r w:rsidRPr="004A2543">
              <w:rPr>
                <w:sz w:val="20"/>
                <w:szCs w:val="21"/>
                <w:lang w:val="en-US"/>
              </w:rPr>
              <w:t xml:space="preserve"> as a</w:t>
            </w:r>
            <w:r>
              <w:rPr>
                <w:sz w:val="20"/>
                <w:szCs w:val="21"/>
                <w:lang w:val="en-US"/>
              </w:rPr>
              <w:t>n</w:t>
            </w:r>
            <w:r w:rsidRPr="004A2543">
              <w:rPr>
                <w:sz w:val="20"/>
                <w:szCs w:val="21"/>
                <w:lang w:val="en-US"/>
              </w:rPr>
              <w:t xml:space="preserve"> administrative interface aimed at </w:t>
            </w:r>
            <w:r w:rsidRPr="004A2543">
              <w:rPr>
                <w:sz w:val="20"/>
                <w:szCs w:val="21"/>
                <w:lang w:val="en-US"/>
              </w:rPr>
              <w:lastRenderedPageBreak/>
              <w:t>informing, guiding, and facilitating project developers throughout the permitting process. It operates as a centralized entry poin</w:t>
            </w:r>
            <w:r>
              <w:rPr>
                <w:sz w:val="20"/>
                <w:szCs w:val="21"/>
                <w:lang w:val="en-US"/>
              </w:rPr>
              <w:t xml:space="preserve">t, </w:t>
            </w:r>
            <w:r w:rsidRPr="004A2543">
              <w:rPr>
                <w:sz w:val="20"/>
                <w:szCs w:val="21"/>
                <w:lang w:val="en-US"/>
              </w:rPr>
              <w:t>primarily via e</w:t>
            </w:r>
            <w:r>
              <w:rPr>
                <w:sz w:val="20"/>
                <w:szCs w:val="21"/>
                <w:lang w:val="en-US"/>
              </w:rPr>
              <w:t>mail</w:t>
            </w:r>
            <w:r w:rsidRPr="004A2543">
              <w:rPr>
                <w:sz w:val="20"/>
                <w:szCs w:val="21"/>
                <w:lang w:val="en-US"/>
              </w:rPr>
              <w:t xml:space="preserve"> communication</w:t>
            </w:r>
            <w:r>
              <w:rPr>
                <w:sz w:val="20"/>
                <w:szCs w:val="21"/>
                <w:lang w:val="en-US"/>
              </w:rPr>
              <w:t xml:space="preserve">, </w:t>
            </w:r>
            <w:r w:rsidRPr="004A2543">
              <w:rPr>
                <w:sz w:val="20"/>
                <w:szCs w:val="21"/>
                <w:lang w:val="en-US"/>
              </w:rPr>
              <w:t>through which the Ministry receives initial project inquiries and provides structured guidance on applicable procedures, competent authorities, and statutory timelines. The SPC directs investors toward the unified digital construction permitting system (CEOP</w:t>
            </w:r>
            <w:r>
              <w:rPr>
                <w:rStyle w:val="FootnoteReference"/>
                <w:sz w:val="20"/>
                <w:szCs w:val="21"/>
                <w:lang w:val="en-US"/>
              </w:rPr>
              <w:footnoteReference w:id="2"/>
            </w:r>
            <w:r w:rsidRPr="004A2543">
              <w:rPr>
                <w:sz w:val="20"/>
                <w:szCs w:val="21"/>
                <w:lang w:val="en-US"/>
              </w:rPr>
              <w:t>), managed by the Ministry of Construction, Transport and Infrastructure, as well as toward environmental approval procedures under the Ministry of Environmental Protection and energy permitting procedures within the Ministry of Mining and Energy.</w:t>
            </w:r>
            <w:r>
              <w:rPr>
                <w:sz w:val="20"/>
                <w:szCs w:val="21"/>
                <w:lang w:val="en-US"/>
              </w:rPr>
              <w:t xml:space="preserve"> </w:t>
            </w:r>
            <w:r w:rsidRPr="004B3E97">
              <w:rPr>
                <w:sz w:val="20"/>
                <w:szCs w:val="21"/>
                <w:lang w:val="en-US"/>
              </w:rPr>
              <w:t>Its core objectives include optimization and digitalization of permitting procedures, improved inter-institutional coordination, and acceleration of administrative processes through parallel processing where legally permissible. Operationally, the SPC also collects and systematizes information on the status of individual applications based on coordination with competent authorities, with the aim of facilitating communication and enhancing procedural efficiency.</w:t>
            </w:r>
            <w:r>
              <w:rPr>
                <w:sz w:val="20"/>
                <w:szCs w:val="21"/>
                <w:lang w:val="en-US"/>
              </w:rPr>
              <w:t xml:space="preserve"> </w:t>
            </w:r>
            <w:r w:rsidRPr="004B3E97">
              <w:rPr>
                <w:sz w:val="20"/>
                <w:szCs w:val="21"/>
                <w:lang w:val="en-US"/>
              </w:rPr>
              <w:t>The SPC is being implemented in phases, initially covering large-scale strategic projects, while its scope is expected to expand to other renewable energy projects following further amendments to the Law on the Use of Renewable Energy Sources. Importantly, the SPC has a strictly informational and coordinative role: it does not conduct administrative procedures, issue decisions, or assume the competences of other authorities, nor can it guarantee timelines or outcomes of permitting processes.</w:t>
            </w:r>
            <w:r>
              <w:rPr>
                <w:sz w:val="20"/>
                <w:szCs w:val="21"/>
                <w:lang w:val="en-US"/>
              </w:rPr>
              <w:t xml:space="preserve"> </w:t>
            </w:r>
          </w:p>
          <w:p w14:paraId="411E01A7" w14:textId="77777777" w:rsidR="00E50ACD" w:rsidRPr="000A3DD8" w:rsidRDefault="00E50ACD" w:rsidP="00E50ACD">
            <w:pPr>
              <w:pStyle w:val="Compact"/>
              <w:numPr>
                <w:ilvl w:val="0"/>
                <w:numId w:val="5"/>
              </w:numPr>
              <w:jc w:val="both"/>
              <w:cnfStyle w:val="000000000000" w:firstRow="0" w:lastRow="0" w:firstColumn="0" w:lastColumn="0" w:oddVBand="0" w:evenVBand="0" w:oddHBand="0" w:evenHBand="0" w:firstRowFirstColumn="0" w:firstRowLastColumn="0" w:lastRowFirstColumn="0" w:lastRowLastColumn="0"/>
              <w:rPr>
                <w:sz w:val="20"/>
                <w:szCs w:val="20"/>
              </w:rPr>
            </w:pPr>
            <w:r w:rsidRPr="00C25962">
              <w:rPr>
                <w:sz w:val="20"/>
                <w:szCs w:val="20"/>
              </w:rPr>
              <w:t>The public operationalization of the single contact point (SPC) for strategic renewable energy projects has been partially achieved through the publication of key informational elements on the official website of the Ministry of Mining and Energy. The SPC is presented as a dedicated interface, including a defined communication channel (kontakt.tacka@mre.gov.rs), guidance on the content of initial investor inquiries, and references to relevant permitting pathways, such as the CEOP system and environmental approval procedures. These elements improve transparency and provide investors with a basic understanding of procedural steps, competent authorities, and applicable legal frameworks.</w:t>
            </w:r>
            <w:r>
              <w:rPr>
                <w:sz w:val="20"/>
                <w:szCs w:val="20"/>
              </w:rPr>
              <w:t xml:space="preserve"> </w:t>
            </w:r>
            <w:r w:rsidRPr="00C25962">
              <w:rPr>
                <w:sz w:val="20"/>
                <w:szCs w:val="20"/>
              </w:rPr>
              <w:t>However, the operational framework does not amount to a fully formalized or standardized set of procedures or service standards. Rather than publishing comprehensive procedural rules, the SPC functions as an informational and coordinative mechanism, supporting investor navigation across multiple administrative systems. It does not conduct administrative procedures, issue decisions, or assume responsibility for the processing of applications, nor does it establish binding service timelines or guarantees.</w:t>
            </w:r>
            <w:r>
              <w:rPr>
                <w:sz w:val="20"/>
                <w:szCs w:val="20"/>
              </w:rPr>
              <w:t xml:space="preserve"> </w:t>
            </w:r>
            <w:r w:rsidRPr="000A3DD8">
              <w:rPr>
                <w:sz w:val="20"/>
                <w:szCs w:val="20"/>
              </w:rPr>
              <w:t xml:space="preserve">Consequently, while the SPC demonstrates a clear step toward public operationalization in terms of transparency and accessibility, it falls short of a fully structured and standardized one-stop-shop system as envisaged under Article 16 of the Renewable Energy Directive (RED II), with investors still required </w:t>
            </w:r>
            <w:r w:rsidRPr="000A3DD8">
              <w:rPr>
                <w:sz w:val="20"/>
                <w:szCs w:val="20"/>
              </w:rPr>
              <w:lastRenderedPageBreak/>
              <w:t>to engage directly with multiple competent authorities and permitting systems</w:t>
            </w:r>
            <w:r>
              <w:rPr>
                <w:sz w:val="20"/>
                <w:szCs w:val="20"/>
              </w:rPr>
              <w:t>.</w:t>
            </w:r>
            <w:r>
              <w:rPr>
                <w:rStyle w:val="FootnoteReference"/>
                <w:sz w:val="20"/>
                <w:szCs w:val="20"/>
              </w:rPr>
              <w:footnoteReference w:id="3"/>
            </w:r>
            <w:r>
              <w:rPr>
                <w:sz w:val="20"/>
                <w:szCs w:val="20"/>
              </w:rPr>
              <w:t xml:space="preserve"> </w:t>
            </w:r>
          </w:p>
        </w:tc>
      </w:tr>
      <w:tr w:rsidR="00E50ACD" w:rsidRPr="002C702E" w14:paraId="50689ED2"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1C9F7F36"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Key issues in implementation</w:t>
            </w:r>
          </w:p>
        </w:tc>
        <w:tc>
          <w:tcPr>
            <w:tcW w:w="6753" w:type="dxa"/>
          </w:tcPr>
          <w:p w14:paraId="06E5708B" w14:textId="275983C6" w:rsidR="00E50ACD" w:rsidRPr="001919C9"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919C9">
              <w:rPr>
                <w:sz w:val="20"/>
                <w:szCs w:val="20"/>
              </w:rPr>
              <w:t>The primary implementation challenge lies in the gap between institutional design and legal effect. While Article 16 of the Renewable Energy Directive (EU) 2018/2001 does not explicitly require that all permits be issued by a single authority, it implies a functionally integrated one-stop-shop approach in which a single interface manages and coordinates the permitting process end-to-end</w:t>
            </w:r>
            <w:r>
              <w:rPr>
                <w:sz w:val="20"/>
                <w:szCs w:val="20"/>
              </w:rPr>
              <w:t>. Article 16 states the following: “</w:t>
            </w:r>
            <w:r w:rsidRPr="00D753FE">
              <w:rPr>
                <w:sz w:val="20"/>
                <w:szCs w:val="20"/>
              </w:rPr>
              <w:t xml:space="preserve">Member States shall set up or designate one or more contact points. Those contact points shall, upon request by the applicant, guide through and facilitate the entire administrative permit application and granting process. The applicant shall not be required to contact more than one contact point for the entire process. The permit-granting process shall cover the relevant administrative permits to build, repower and operate plants </w:t>
            </w:r>
            <w:proofErr w:type="gramStart"/>
            <w:r w:rsidRPr="00D753FE">
              <w:rPr>
                <w:sz w:val="20"/>
                <w:szCs w:val="20"/>
              </w:rPr>
              <w:t>for the production of</w:t>
            </w:r>
            <w:proofErr w:type="gramEnd"/>
            <w:r w:rsidRPr="00D753FE">
              <w:rPr>
                <w:sz w:val="20"/>
                <w:szCs w:val="20"/>
              </w:rPr>
              <w:t xml:space="preserve"> energy from renewable sources and assets necessary for their connection to the grid. The permit-granting process shall comprise all procedures from the acknowledgment of the receipt of the application to the transmission of the outcome of the procedure referred to in paragraph 2</w:t>
            </w:r>
            <w:r>
              <w:rPr>
                <w:sz w:val="20"/>
                <w:szCs w:val="20"/>
              </w:rPr>
              <w:t>,”</w:t>
            </w:r>
            <w:r>
              <w:rPr>
                <w:rStyle w:val="FootnoteReference"/>
                <w:sz w:val="20"/>
                <w:szCs w:val="20"/>
              </w:rPr>
              <w:footnoteReference w:id="4"/>
            </w:r>
            <w:r>
              <w:rPr>
                <w:sz w:val="20"/>
                <w:szCs w:val="20"/>
              </w:rPr>
              <w:t xml:space="preserve"> </w:t>
            </w:r>
            <w:r w:rsidRPr="001919C9">
              <w:rPr>
                <w:sz w:val="20"/>
                <w:szCs w:val="20"/>
              </w:rPr>
              <w:t>In this regard, Serbia has adopted a phased implementation model, establishing the SPC as an informational and coordinative helpdesk, initially limited to large strategic projects</w:t>
            </w:r>
            <w:r>
              <w:rPr>
                <w:sz w:val="20"/>
                <w:szCs w:val="20"/>
              </w:rPr>
              <w:t xml:space="preserve">, but has not reached the full compliance with the RED II </w:t>
            </w:r>
            <w:proofErr w:type="spellStart"/>
            <w:r>
              <w:rPr>
                <w:sz w:val="20"/>
                <w:szCs w:val="20"/>
              </w:rPr>
              <w:t>Directive.</w:t>
            </w:r>
            <w:r w:rsidRPr="001919C9">
              <w:rPr>
                <w:sz w:val="20"/>
                <w:szCs w:val="20"/>
              </w:rPr>
              <w:t>In</w:t>
            </w:r>
            <w:proofErr w:type="spellEnd"/>
            <w:r w:rsidRPr="001919C9">
              <w:rPr>
                <w:sz w:val="20"/>
                <w:szCs w:val="20"/>
              </w:rPr>
              <w:t xml:space="preserve"> practice, investors remain responsible for navigating multiple parallel administrative systems, indicating that process ownership has not been </w:t>
            </w:r>
            <w:r>
              <w:rPr>
                <w:sz w:val="20"/>
                <w:szCs w:val="20"/>
              </w:rPr>
              <w:t xml:space="preserve">fully </w:t>
            </w:r>
            <w:r w:rsidRPr="001919C9">
              <w:rPr>
                <w:sz w:val="20"/>
                <w:szCs w:val="20"/>
              </w:rPr>
              <w:t>centralized.</w:t>
            </w:r>
            <w:r>
              <w:rPr>
                <w:sz w:val="20"/>
                <w:szCs w:val="20"/>
              </w:rPr>
              <w:t xml:space="preserve"> </w:t>
            </w:r>
          </w:p>
          <w:p w14:paraId="2B1B4144" w14:textId="77777777" w:rsidR="00E50ACD" w:rsidRPr="001919C9"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1919C9">
              <w:rPr>
                <w:sz w:val="20"/>
                <w:szCs w:val="20"/>
              </w:rPr>
              <w:t>A second limitation concerns the restricted scope of application. By focusing initially on large strategic projects</w:t>
            </w:r>
            <w:r>
              <w:rPr>
                <w:sz w:val="20"/>
                <w:szCs w:val="20"/>
              </w:rPr>
              <w:t xml:space="preserve">, </w:t>
            </w:r>
            <w:r w:rsidRPr="001919C9">
              <w:rPr>
                <w:sz w:val="20"/>
                <w:szCs w:val="20"/>
              </w:rPr>
              <w:t>supported by a single pilot</w:t>
            </w:r>
            <w:r>
              <w:rPr>
                <w:sz w:val="20"/>
                <w:szCs w:val="20"/>
              </w:rPr>
              <w:t xml:space="preserve">, </w:t>
            </w:r>
            <w:r w:rsidRPr="001919C9">
              <w:rPr>
                <w:sz w:val="20"/>
                <w:szCs w:val="20"/>
              </w:rPr>
              <w:t>the current model excludes a significant portion of renewable energy developers, including smaller investors and prosumers. This phased and selective coverage falls short of a system-wide “designation” of a single contact point and suggests that the reform remains at an early stage of implementation.</w:t>
            </w:r>
          </w:p>
          <w:p w14:paraId="4FA38D18" w14:textId="77777777" w:rsidR="00E50ACD" w:rsidRPr="00B951CB"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1919C9">
              <w:rPr>
                <w:sz w:val="20"/>
                <w:szCs w:val="20"/>
              </w:rPr>
              <w:t>Nevertheless, the institutional setup and basic operational elements for the pilot phase are in place, providing a foundation for further development toward a more integrated and fully functional one-stop-shop system in line with RED II requirements.</w:t>
            </w:r>
          </w:p>
        </w:tc>
      </w:tr>
      <w:tr w:rsidR="00E50ACD" w:rsidRPr="002C702E" w14:paraId="2BF5D11C"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58A1B49B"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4E9A81BD" w14:textId="77777777" w:rsidR="00E50ACD"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18700AED" w14:textId="77777777" w:rsidR="00E50ACD"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It is h</w:t>
            </w:r>
            <w:r w:rsidRPr="007937A1">
              <w:rPr>
                <w:sz w:val="20"/>
                <w:szCs w:val="20"/>
              </w:rPr>
              <w:t>igh for the existence and description of the SCP mechanism (public page, email, disclosed scope). Transparency is weaker regarding the formal legal basis (no publicly evidenced legal designation act).</w:t>
            </w:r>
          </w:p>
          <w:p w14:paraId="1D5FE2B8" w14:textId="77777777" w:rsidR="00E50ACD"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02895E4D" w14:textId="77777777" w:rsidR="00E50ACD"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6AF35EF3" w14:textId="302108C4" w:rsidR="00E50ACD"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Th</w:t>
            </w:r>
            <w:r w:rsidRPr="00B174DF">
              <w:rPr>
                <w:sz w:val="20"/>
                <w:szCs w:val="20"/>
                <w:lang w:val="en-GB"/>
              </w:rPr>
              <w:t xml:space="preserve">e limited “strategic projects only” scope may reduce inclusivity (smaller developers, prosumers, and community projects may not benefit </w:t>
            </w:r>
            <w:r>
              <w:rPr>
                <w:sz w:val="20"/>
                <w:szCs w:val="20"/>
                <w:lang w:val="en-GB"/>
              </w:rPr>
              <w:t>from this procedure</w:t>
            </w:r>
            <w:r w:rsidRPr="00B174DF">
              <w:rPr>
                <w:sz w:val="20"/>
                <w:szCs w:val="20"/>
                <w:lang w:val="en-GB"/>
              </w:rPr>
              <w:t xml:space="preserve">). </w:t>
            </w:r>
          </w:p>
          <w:p w14:paraId="158E8C37" w14:textId="77777777"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18A5CEA8" w14:textId="77777777" w:rsidR="00E50ACD" w:rsidRPr="002C702E"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5D6BF8">
              <w:rPr>
                <w:sz w:val="20"/>
                <w:szCs w:val="20"/>
                <w:lang w:val="en-GB"/>
              </w:rPr>
              <w:t>A phased approach can be proportionate if it demonstrably leads to full RED II alignment; however, the page’s disclaimer and deferred legal expansion indicate that, by end</w:t>
            </w:r>
            <w:r w:rsidRPr="005D6BF8">
              <w:rPr>
                <w:rFonts w:ascii="Cambria Math" w:hAnsi="Cambria Math" w:cs="Cambria Math"/>
                <w:sz w:val="20"/>
                <w:szCs w:val="20"/>
                <w:lang w:val="en-GB"/>
              </w:rPr>
              <w:t>‑</w:t>
            </w:r>
            <w:r w:rsidRPr="005D6BF8">
              <w:rPr>
                <w:sz w:val="20"/>
                <w:szCs w:val="20"/>
                <w:lang w:val="en-GB"/>
              </w:rPr>
              <w:t xml:space="preserve">2025, proportionality is only partially met because the </w:t>
            </w:r>
            <w:r w:rsidRPr="005D6BF8">
              <w:rPr>
                <w:sz w:val="20"/>
                <w:szCs w:val="20"/>
                <w:lang w:val="en-GB"/>
              </w:rPr>
              <w:lastRenderedPageBreak/>
              <w:t xml:space="preserve">mechanism does not yet meaningfully reduce administrative burden for most applicants. </w:t>
            </w:r>
            <w:r>
              <w:rPr>
                <w:sz w:val="20"/>
                <w:szCs w:val="20"/>
                <w:lang w:val="en-GB"/>
              </w:rPr>
              <w:t>But having in mind the complexity of the SPC system, it can be concluded that phased approach is in accordance with the national context in Serbia.</w:t>
            </w:r>
          </w:p>
        </w:tc>
      </w:tr>
      <w:tr w:rsidR="00E50ACD" w:rsidRPr="002C702E" w14:paraId="11FEE74F"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1063DCFE"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6221AA21" w14:textId="77777777"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4088941F" w14:textId="77777777"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Pr>
                <w:sz w:val="20"/>
                <w:szCs w:val="20"/>
                <w:lang w:val="en-GB"/>
              </w:rPr>
              <w:t>Yes,</w:t>
            </w:r>
            <w:r w:rsidRPr="002C702E">
              <w:rPr>
                <w:sz w:val="20"/>
                <w:szCs w:val="20"/>
                <w:lang w:val="en-GB"/>
              </w:rPr>
              <w:t xml:space="preserve"> although not as listed in the Reform Agenda</w:t>
            </w:r>
            <w:r>
              <w:rPr>
                <w:sz w:val="20"/>
                <w:szCs w:val="20"/>
                <w:lang w:val="en-GB"/>
              </w:rPr>
              <w:t>.</w:t>
            </w:r>
          </w:p>
          <w:p w14:paraId="52A744D3" w14:textId="77777777"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76082B24" w14:textId="77777777" w:rsidR="00E50ACD" w:rsidRPr="002C702E" w:rsidRDefault="00E50ACD" w:rsidP="00E50ACD">
            <w:pPr>
              <w:pStyle w:val="ListParagraph"/>
              <w:numPr>
                <w:ilvl w:val="0"/>
                <w:numId w:val="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Ministry of Mining and Energy</w:t>
            </w:r>
            <w:r w:rsidRPr="002C702E">
              <w:rPr>
                <w:sz w:val="20"/>
                <w:szCs w:val="20"/>
                <w:lang w:val="en-GB"/>
              </w:rPr>
              <w:t xml:space="preserve"> of the Republic of Serbia</w:t>
            </w:r>
          </w:p>
          <w:p w14:paraId="326BF1C6" w14:textId="77777777" w:rsidR="00E50ACD" w:rsidRPr="00971B04"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Link</w:t>
            </w:r>
            <w:r w:rsidRPr="002C702E">
              <w:rPr>
                <w:sz w:val="20"/>
                <w:szCs w:val="20"/>
                <w:lang w:val="en-GB"/>
              </w:rPr>
              <w:t xml:space="preserve">: </w:t>
            </w:r>
            <w:r w:rsidRPr="00971B04">
              <w:rPr>
                <w:sz w:val="20"/>
                <w:szCs w:val="20"/>
                <w:lang w:val="en-GB"/>
              </w:rPr>
              <w:t xml:space="preserve"> </w:t>
            </w:r>
          </w:p>
          <w:p w14:paraId="72270FC5" w14:textId="77777777" w:rsidR="00E50ACD" w:rsidRPr="00595E9B" w:rsidRDefault="00E50ACD" w:rsidP="00E50ACD">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u w:val="single"/>
                <w:lang w:val="en-GB"/>
              </w:rPr>
            </w:pPr>
            <w:r w:rsidRPr="00D753FE">
              <w:rPr>
                <w:sz w:val="20"/>
                <w:szCs w:val="20"/>
                <w:u w:val="single"/>
                <w:lang w:val="en-GB"/>
              </w:rPr>
              <w:t>https://eur-lex.europa.eu/legal-content/EN/TXT/PDF/?uri=CELEX:32018L2001</w:t>
            </w:r>
          </w:p>
          <w:p w14:paraId="5F94E669" w14:textId="77777777" w:rsidR="00E50ACD" w:rsidRPr="00971B04" w:rsidRDefault="00E50ACD" w:rsidP="00E50ACD">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u w:val="single"/>
                <w:lang w:val="en-GB"/>
              </w:rPr>
            </w:pPr>
            <w:hyperlink r:id="rId7" w:history="1">
              <w:r w:rsidRPr="00D753FE">
                <w:rPr>
                  <w:rStyle w:val="Hyperlink"/>
                  <w:sz w:val="20"/>
                  <w:szCs w:val="20"/>
                </w:rPr>
                <w:t>https://www.mre.gov.rs/tekst/sr/13906/jedinstvena-kontakt-tacka.php</w:t>
              </w:r>
            </w:hyperlink>
            <w:r>
              <w:rPr>
                <w:sz w:val="20"/>
                <w:szCs w:val="20"/>
              </w:rPr>
              <w:t xml:space="preserve"> </w:t>
            </w:r>
          </w:p>
          <w:p w14:paraId="6E582EEC" w14:textId="77777777" w:rsidR="00E50ACD" w:rsidRPr="00971B04" w:rsidRDefault="00E50ACD" w:rsidP="00E50ACD">
            <w:pPr>
              <w:pStyle w:val="ListParagraph"/>
              <w:numPr>
                <w:ilvl w:val="0"/>
                <w:numId w:val="2"/>
              </w:numPr>
              <w:spacing w:before="120" w:after="120"/>
              <w:cnfStyle w:val="000000000000" w:firstRow="0" w:lastRow="0" w:firstColumn="0" w:lastColumn="0" w:oddVBand="0" w:evenVBand="0" w:oddHBand="0" w:evenHBand="0" w:firstRowFirstColumn="0" w:firstRowLastColumn="0" w:lastRowFirstColumn="0" w:lastRowLastColumn="0"/>
              <w:rPr>
                <w:sz w:val="20"/>
                <w:szCs w:val="20"/>
                <w:u w:val="single"/>
                <w:lang w:val="en-GB"/>
              </w:rPr>
            </w:pPr>
            <w:hyperlink r:id="rId8" w:history="1">
              <w:r w:rsidRPr="0022529F">
                <w:rPr>
                  <w:rStyle w:val="Hyperlink"/>
                  <w:sz w:val="20"/>
                  <w:szCs w:val="20"/>
                  <w:lang w:val="en-GB"/>
                </w:rPr>
                <w:t>https://ceop.apr.gov.rs/ceopweb/sr-cyrl/home</w:t>
              </w:r>
            </w:hyperlink>
            <w:r>
              <w:rPr>
                <w:sz w:val="20"/>
                <w:szCs w:val="20"/>
                <w:u w:val="single"/>
                <w:lang w:val="en-GB"/>
              </w:rPr>
              <w:t xml:space="preserve"> </w:t>
            </w:r>
          </w:p>
          <w:p w14:paraId="480CF956" w14:textId="77777777"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Date of publication</w:t>
            </w:r>
            <w:r w:rsidRPr="002C702E">
              <w:rPr>
                <w:sz w:val="20"/>
                <w:szCs w:val="20"/>
                <w:lang w:val="en-GB"/>
              </w:rPr>
              <w:t xml:space="preserve">: </w:t>
            </w:r>
          </w:p>
          <w:p w14:paraId="34C63DC5" w14:textId="77777777" w:rsidR="00E50ACD" w:rsidRDefault="00E50ACD" w:rsidP="00E50AC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proofErr w:type="gramStart"/>
            <w:r>
              <w:rPr>
                <w:sz w:val="20"/>
                <w:szCs w:val="20"/>
                <w:lang w:val="en-GB"/>
              </w:rPr>
              <w:t>December,</w:t>
            </w:r>
            <w:proofErr w:type="gramEnd"/>
            <w:r>
              <w:rPr>
                <w:sz w:val="20"/>
                <w:szCs w:val="20"/>
                <w:lang w:val="en-GB"/>
              </w:rPr>
              <w:t xml:space="preserve"> 2018.</w:t>
            </w:r>
          </w:p>
          <w:p w14:paraId="343C8D21" w14:textId="77777777" w:rsidR="00E50ACD" w:rsidRPr="002C702E" w:rsidRDefault="00E50ACD" w:rsidP="00E50ACD">
            <w:pPr>
              <w:pStyle w:val="ListParagraph"/>
              <w:numPr>
                <w:ilvl w:val="0"/>
                <w:numId w:val="3"/>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Websites were accessed on February 26, 16:09.</w:t>
            </w:r>
          </w:p>
        </w:tc>
      </w:tr>
      <w:tr w:rsidR="00E50ACD" w:rsidRPr="002C702E" w14:paraId="433683ED"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AFC7DA3" w14:textId="77777777" w:rsidR="00E50ACD" w:rsidRPr="002C702E" w:rsidRDefault="00E50ACD" w:rsidP="009C6824">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Analyse quality of the final output of the reform step</w:t>
            </w:r>
          </w:p>
        </w:tc>
        <w:tc>
          <w:tcPr>
            <w:tcW w:w="6753" w:type="dxa"/>
          </w:tcPr>
          <w:p w14:paraId="436CE268" w14:textId="77777777" w:rsidR="00E50ACD" w:rsidRPr="009F1989"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
              </w:rPr>
            </w:pPr>
            <w:r w:rsidRPr="009F1989">
              <w:rPr>
                <w:sz w:val="20"/>
                <w:szCs w:val="20"/>
                <w:lang w:val="en"/>
              </w:rPr>
              <w:t>RED II Article 16 frames contact points as instruments to reduce complexity in permit granting through end</w:t>
            </w:r>
            <w:r w:rsidRPr="009F1989">
              <w:rPr>
                <w:sz w:val="20"/>
                <w:szCs w:val="20"/>
                <w:lang w:val="en"/>
              </w:rPr>
              <w:noBreakHyphen/>
              <w:t>to</w:t>
            </w:r>
            <w:r w:rsidRPr="009F1989">
              <w:rPr>
                <w:sz w:val="20"/>
                <w:szCs w:val="20"/>
                <w:lang w:val="en"/>
              </w:rPr>
              <w:noBreakHyphen/>
              <w:t>end guidance and facilitation. MRE’s SCP, as described, improves transparency (information, signposting to CEOP and environmental procedures)</w:t>
            </w:r>
            <w:r>
              <w:rPr>
                <w:sz w:val="20"/>
                <w:szCs w:val="20"/>
                <w:lang w:val="en"/>
              </w:rPr>
              <w:t xml:space="preserve"> and should speed up the process,</w:t>
            </w:r>
            <w:r w:rsidRPr="009F1989">
              <w:rPr>
                <w:sz w:val="20"/>
                <w:szCs w:val="20"/>
                <w:lang w:val="en"/>
              </w:rPr>
              <w:t xml:space="preserve"> but is not an empowered one</w:t>
            </w:r>
            <w:r w:rsidRPr="009F1989">
              <w:rPr>
                <w:sz w:val="20"/>
                <w:szCs w:val="20"/>
                <w:lang w:val="en"/>
              </w:rPr>
              <w:noBreakHyphen/>
              <w:t xml:space="preserve">stop portal and explicitly avoids responsibility for outcomes or deadlines. Therefore, the output is </w:t>
            </w:r>
            <w:r w:rsidRPr="009F1989">
              <w:rPr>
                <w:b/>
                <w:bCs/>
                <w:sz w:val="20"/>
                <w:szCs w:val="20"/>
                <w:lang w:val="en"/>
              </w:rPr>
              <w:t>partially aligned</w:t>
            </w:r>
            <w:r w:rsidRPr="009F1989">
              <w:rPr>
                <w:sz w:val="20"/>
                <w:szCs w:val="20"/>
                <w:lang w:val="en"/>
              </w:rPr>
              <w:t xml:space="preserve"> with the RED II standard: it is a helpful transitional mechanism but does not yet constitute a full RED II Art</w:t>
            </w:r>
            <w:r>
              <w:rPr>
                <w:sz w:val="20"/>
                <w:szCs w:val="20"/>
                <w:lang w:val="en"/>
              </w:rPr>
              <w:t>icle</w:t>
            </w:r>
            <w:r w:rsidRPr="009F1989">
              <w:rPr>
                <w:sz w:val="20"/>
                <w:szCs w:val="20"/>
                <w:lang w:val="en"/>
              </w:rPr>
              <w:t xml:space="preserve"> 16 compliant institutional design. </w:t>
            </w:r>
          </w:p>
        </w:tc>
      </w:tr>
    </w:tbl>
    <w:p w14:paraId="1D6FF444" w14:textId="77777777" w:rsidR="00E50ACD" w:rsidRPr="002C702E" w:rsidRDefault="00E50ACD" w:rsidP="00E50ACD">
      <w:pPr>
        <w:rPr>
          <w:lang w:val="en-GB"/>
        </w:rPr>
      </w:pPr>
    </w:p>
    <w:p w14:paraId="6AFA8E05" w14:textId="77777777" w:rsidR="00E50ACD" w:rsidRPr="002C702E" w:rsidRDefault="00E50ACD" w:rsidP="00E50ACD">
      <w:pPr>
        <w:pStyle w:val="Heading1"/>
        <w:numPr>
          <w:ilvl w:val="0"/>
          <w:numId w:val="6"/>
        </w:numPr>
        <w:tabs>
          <w:tab w:val="num" w:pos="360"/>
        </w:tabs>
        <w:ind w:left="1080" w:firstLine="0"/>
        <w:rPr>
          <w:lang w:val="en-GB"/>
        </w:rPr>
      </w:pPr>
      <w:r w:rsidRPr="002C702E">
        <w:rPr>
          <w:lang w:val="en-GB"/>
        </w:rPr>
        <w:t>Final assessment</w:t>
      </w:r>
    </w:p>
    <w:p w14:paraId="2927544C" w14:textId="77777777" w:rsidR="00E50ACD" w:rsidRPr="002C702E" w:rsidRDefault="00E50ACD" w:rsidP="00E50ACD">
      <w:pPr>
        <w:rPr>
          <w:lang w:val="en-GB"/>
        </w:rPr>
      </w:pPr>
    </w:p>
    <w:tbl>
      <w:tblPr>
        <w:tblStyle w:val="GridTable1Light"/>
        <w:tblW w:w="0" w:type="auto"/>
        <w:tblLook w:val="0480" w:firstRow="0" w:lastRow="0" w:firstColumn="1" w:lastColumn="0" w:noHBand="0" w:noVBand="1"/>
      </w:tblPr>
      <w:tblGrid>
        <w:gridCol w:w="2263"/>
        <w:gridCol w:w="6753"/>
      </w:tblGrid>
      <w:tr w:rsidR="00E50ACD" w:rsidRPr="002C702E" w14:paraId="2FBA324B"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64D9B276" w14:textId="337821DE" w:rsidR="00E50ACD" w:rsidRPr="002C702E" w:rsidRDefault="00E50ACD" w:rsidP="009C6824">
            <w:pPr>
              <w:spacing w:before="60" w:after="60"/>
              <w:rPr>
                <w:sz w:val="20"/>
                <w:szCs w:val="20"/>
                <w:lang w:val="en-GB"/>
              </w:rPr>
            </w:pPr>
            <w:r w:rsidRPr="002C702E">
              <w:rPr>
                <w:sz w:val="20"/>
                <w:szCs w:val="20"/>
                <w:lang w:val="en-GB"/>
              </w:rPr>
              <w:t>Assess formal achievement</w:t>
            </w:r>
          </w:p>
        </w:tc>
        <w:tc>
          <w:tcPr>
            <w:tcW w:w="6753" w:type="dxa"/>
          </w:tcPr>
          <w:p w14:paraId="35699D09" w14:textId="084C0F0E" w:rsidR="00E50ACD" w:rsidRPr="002C702E" w:rsidRDefault="00E50ACD" w:rsidP="009C6824">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Pr>
                <w:b/>
                <w:bCs/>
                <w:sz w:val="20"/>
                <w:szCs w:val="20"/>
                <w:lang w:val="en-GB"/>
              </w:rPr>
              <w:t>Not achieved</w:t>
            </w:r>
          </w:p>
        </w:tc>
      </w:tr>
      <w:tr w:rsidR="00E50ACD" w:rsidRPr="002C702E" w14:paraId="52C07038" w14:textId="77777777" w:rsidTr="009C6824">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152840CA" w14:textId="77777777" w:rsidR="00E50ACD" w:rsidRPr="002C702E" w:rsidRDefault="00E50ACD" w:rsidP="009C6824">
            <w:pPr>
              <w:spacing w:before="60" w:after="60"/>
              <w:rPr>
                <w:sz w:val="20"/>
                <w:szCs w:val="20"/>
                <w:lang w:val="en-GB"/>
              </w:rPr>
            </w:pPr>
            <w:r w:rsidRPr="002C702E">
              <w:rPr>
                <w:sz w:val="20"/>
                <w:szCs w:val="20"/>
                <w:lang w:val="en-GB"/>
              </w:rPr>
              <w:t>Elaboration of final assessment</w:t>
            </w:r>
          </w:p>
        </w:tc>
        <w:tc>
          <w:tcPr>
            <w:tcW w:w="6753" w:type="dxa"/>
          </w:tcPr>
          <w:p w14:paraId="444A3B2E" w14:textId="77777777" w:rsidR="00E50ACD"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F12278">
              <w:rPr>
                <w:sz w:val="20"/>
                <w:szCs w:val="20"/>
                <w:lang w:val="en-GB"/>
              </w:rPr>
              <w:t>Serbia established and publicly described a single contact point function, but its limited scope (strategic projects) and expressly non</w:t>
            </w:r>
            <w:r w:rsidRPr="00F12278">
              <w:rPr>
                <w:rFonts w:ascii="Cambria Math" w:hAnsi="Cambria Math" w:cs="Cambria Math"/>
                <w:sz w:val="20"/>
                <w:szCs w:val="20"/>
                <w:lang w:val="en-GB"/>
              </w:rPr>
              <w:t>‑</w:t>
            </w:r>
            <w:r w:rsidRPr="00F12278">
              <w:rPr>
                <w:sz w:val="20"/>
                <w:szCs w:val="20"/>
                <w:lang w:val="en-GB"/>
              </w:rPr>
              <w:t xml:space="preserve">procedural role mean the step is not fully implemented </w:t>
            </w:r>
            <w:r w:rsidRPr="00F12278">
              <w:rPr>
                <w:rFonts w:ascii="Aptos" w:hAnsi="Aptos" w:cs="Aptos"/>
                <w:sz w:val="20"/>
                <w:szCs w:val="20"/>
                <w:lang w:val="en-GB"/>
              </w:rPr>
              <w:t>“</w:t>
            </w:r>
            <w:r w:rsidRPr="00F12278">
              <w:rPr>
                <w:sz w:val="20"/>
                <w:szCs w:val="20"/>
                <w:lang w:val="en-GB"/>
              </w:rPr>
              <w:t>in line with RED II</w:t>
            </w:r>
            <w:r w:rsidRPr="00F12278">
              <w:rPr>
                <w:rFonts w:ascii="Aptos" w:hAnsi="Aptos" w:cs="Aptos"/>
                <w:sz w:val="20"/>
                <w:szCs w:val="20"/>
                <w:lang w:val="en-GB"/>
              </w:rPr>
              <w:t>”</w:t>
            </w:r>
            <w:r w:rsidRPr="00F12278">
              <w:rPr>
                <w:sz w:val="20"/>
                <w:szCs w:val="20"/>
                <w:lang w:val="en-GB"/>
              </w:rPr>
              <w:t xml:space="preserve"> as an end</w:t>
            </w:r>
            <w:r w:rsidRPr="00F12278">
              <w:rPr>
                <w:rFonts w:ascii="Cambria Math" w:hAnsi="Cambria Math" w:cs="Cambria Math"/>
                <w:sz w:val="20"/>
                <w:szCs w:val="20"/>
                <w:lang w:val="en-GB"/>
              </w:rPr>
              <w:t>‑</w:t>
            </w:r>
            <w:r w:rsidRPr="00F12278">
              <w:rPr>
                <w:sz w:val="20"/>
                <w:szCs w:val="20"/>
                <w:lang w:val="en-GB"/>
              </w:rPr>
              <w:t>to</w:t>
            </w:r>
            <w:r w:rsidRPr="00F12278">
              <w:rPr>
                <w:rFonts w:ascii="Cambria Math" w:hAnsi="Cambria Math" w:cs="Cambria Math"/>
                <w:sz w:val="20"/>
                <w:szCs w:val="20"/>
                <w:lang w:val="en-GB"/>
              </w:rPr>
              <w:t>‑</w:t>
            </w:r>
            <w:r w:rsidRPr="00F12278">
              <w:rPr>
                <w:sz w:val="20"/>
                <w:szCs w:val="20"/>
                <w:lang w:val="en-GB"/>
              </w:rPr>
              <w:t>end permitting simplification tool by December 2025.</w:t>
            </w:r>
            <w:r>
              <w:rPr>
                <w:sz w:val="20"/>
                <w:szCs w:val="20"/>
                <w:lang w:val="en-GB"/>
              </w:rPr>
              <w:t xml:space="preserve"> The SPC was designated, but it was not operationalized in accordance to the RED II Directive, which clearly defines SPC as following: “</w:t>
            </w:r>
            <w:r w:rsidRPr="00603337">
              <w:rPr>
                <w:sz w:val="20"/>
                <w:szCs w:val="20"/>
                <w:lang w:val="en-GB"/>
              </w:rPr>
              <w:t>The single contact points should guide the</w:t>
            </w:r>
            <w:r>
              <w:rPr>
                <w:sz w:val="20"/>
                <w:szCs w:val="20"/>
                <w:lang w:val="en-GB"/>
              </w:rPr>
              <w:t xml:space="preserve"> </w:t>
            </w:r>
            <w:r w:rsidRPr="00603337">
              <w:rPr>
                <w:sz w:val="20"/>
                <w:szCs w:val="20"/>
                <w:lang w:val="en-GB"/>
              </w:rPr>
              <w:t>applicant and facilitate through the entire administrative process so that the applicant is not obliged to contact</w:t>
            </w:r>
            <w:r>
              <w:rPr>
                <w:sz w:val="20"/>
                <w:szCs w:val="20"/>
                <w:lang w:val="en-GB"/>
              </w:rPr>
              <w:t xml:space="preserve"> </w:t>
            </w:r>
            <w:r w:rsidRPr="00603337">
              <w:rPr>
                <w:sz w:val="20"/>
                <w:szCs w:val="20"/>
                <w:lang w:val="en-GB"/>
              </w:rPr>
              <w:t>other administrative bodies in order to complete the permit-granting process, unless the applicant prefers to</w:t>
            </w:r>
            <w:r>
              <w:rPr>
                <w:sz w:val="20"/>
                <w:szCs w:val="20"/>
                <w:lang w:val="en-GB"/>
              </w:rPr>
              <w:t xml:space="preserve"> </w:t>
            </w:r>
            <w:r w:rsidRPr="00603337">
              <w:rPr>
                <w:sz w:val="20"/>
                <w:szCs w:val="20"/>
                <w:lang w:val="en-GB"/>
              </w:rPr>
              <w:t>do so.</w:t>
            </w:r>
            <w:r>
              <w:rPr>
                <w:sz w:val="20"/>
                <w:szCs w:val="20"/>
                <w:lang w:val="en-GB"/>
              </w:rPr>
              <w:t>”</w:t>
            </w:r>
            <w:r>
              <w:rPr>
                <w:rStyle w:val="FootnoteReference"/>
                <w:sz w:val="20"/>
                <w:szCs w:val="20"/>
                <w:lang w:val="en-GB"/>
              </w:rPr>
              <w:footnoteReference w:id="5"/>
            </w:r>
            <w:r>
              <w:rPr>
                <w:sz w:val="20"/>
                <w:szCs w:val="20"/>
                <w:lang w:val="en-GB"/>
              </w:rPr>
              <w:t xml:space="preserve"> </w:t>
            </w:r>
            <w:r w:rsidRPr="00603337">
              <w:rPr>
                <w:sz w:val="20"/>
                <w:szCs w:val="20"/>
                <w:lang w:val="en-GB"/>
              </w:rPr>
              <w:t xml:space="preserve">Having in mind that the SPC in Serbia is currently envisaged as a coordination mechanism aimed at helping investors navigate complex procedures before different administrative bodies, it simplifies the process but does not </w:t>
            </w:r>
            <w:r w:rsidRPr="00603337">
              <w:rPr>
                <w:sz w:val="20"/>
                <w:szCs w:val="20"/>
                <w:lang w:val="en-GB"/>
              </w:rPr>
              <w:lastRenderedPageBreak/>
              <w:t>fundamentally replace the need for direct interaction with other relevant authorities.</w:t>
            </w:r>
            <w:r>
              <w:rPr>
                <w:sz w:val="20"/>
                <w:szCs w:val="20"/>
                <w:lang w:val="en-GB"/>
              </w:rPr>
              <w:t xml:space="preserve"> For that reason, full compliance of operationalization of SPC in line with the RED II Directive was not achieved.</w:t>
            </w:r>
          </w:p>
          <w:p w14:paraId="6ECD3D95" w14:textId="77777777" w:rsidR="00E50ACD" w:rsidRPr="003E583F" w:rsidRDefault="00E50ACD" w:rsidP="009C682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F12278">
              <w:rPr>
                <w:sz w:val="20"/>
                <w:szCs w:val="20"/>
                <w:lang w:val="en-GB"/>
              </w:rPr>
              <w:t xml:space="preserve"> </w:t>
            </w:r>
            <w:r>
              <w:rPr>
                <w:sz w:val="20"/>
                <w:szCs w:val="20"/>
                <w:lang w:val="en-GB"/>
              </w:rPr>
              <w:t xml:space="preserve">We therefore consider this reform step as </w:t>
            </w:r>
            <w:r w:rsidRPr="00CE29C3">
              <w:rPr>
                <w:b/>
                <w:bCs/>
                <w:sz w:val="20"/>
                <w:szCs w:val="20"/>
                <w:lang w:val="en-GB"/>
              </w:rPr>
              <w:t>not achieved</w:t>
            </w:r>
            <w:r>
              <w:rPr>
                <w:sz w:val="20"/>
                <w:szCs w:val="20"/>
                <w:lang w:val="en-GB"/>
              </w:rPr>
              <w:t xml:space="preserve">, </w:t>
            </w:r>
            <w:r w:rsidRPr="000C509D">
              <w:rPr>
                <w:b/>
                <w:bCs/>
                <w:sz w:val="20"/>
                <w:szCs w:val="20"/>
                <w:lang w:val="en-GB"/>
              </w:rPr>
              <w:t xml:space="preserve">but with substantial progress made in the reporting period. </w:t>
            </w:r>
          </w:p>
        </w:tc>
      </w:tr>
    </w:tbl>
    <w:p w14:paraId="3B9DEE2F" w14:textId="77777777" w:rsidR="00E50ACD" w:rsidRDefault="00E50ACD" w:rsidP="00E50ACD"/>
    <w:p w14:paraId="34C752BF" w14:textId="77777777" w:rsidR="00E50ACD" w:rsidRDefault="00E50ACD" w:rsidP="00E50ACD"/>
    <w:p w14:paraId="6CE0EC54"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E0935" w14:textId="77777777" w:rsidR="005202D1" w:rsidRDefault="005202D1" w:rsidP="00E50ACD">
      <w:r>
        <w:separator/>
      </w:r>
    </w:p>
  </w:endnote>
  <w:endnote w:type="continuationSeparator" w:id="0">
    <w:p w14:paraId="2F561539" w14:textId="77777777" w:rsidR="005202D1" w:rsidRDefault="005202D1" w:rsidP="00E5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76CD" w14:textId="77777777" w:rsidR="005202D1" w:rsidRDefault="005202D1" w:rsidP="00E50ACD">
      <w:r>
        <w:separator/>
      </w:r>
    </w:p>
  </w:footnote>
  <w:footnote w:type="continuationSeparator" w:id="0">
    <w:p w14:paraId="2261EBC8" w14:textId="77777777" w:rsidR="005202D1" w:rsidRDefault="005202D1" w:rsidP="00E50ACD">
      <w:r>
        <w:continuationSeparator/>
      </w:r>
    </w:p>
  </w:footnote>
  <w:footnote w:id="1">
    <w:p w14:paraId="5C6DFA84" w14:textId="77777777" w:rsidR="00E50ACD" w:rsidRDefault="00E50ACD" w:rsidP="00E50ACD">
      <w:pPr>
        <w:pStyle w:val="FootnoteText"/>
      </w:pPr>
      <w:r>
        <w:rPr>
          <w:rStyle w:val="FootnoteReference"/>
        </w:rPr>
        <w:footnoteRef/>
      </w:r>
      <w:r>
        <w:t xml:space="preserve"> </w:t>
      </w:r>
      <w:hyperlink r:id="rId1" w:history="1">
        <w:r w:rsidRPr="00DD5194">
          <w:rPr>
            <w:rStyle w:val="Hyperlink"/>
          </w:rPr>
          <w:t>https://www.mre.gov.rs/tekst/sr/13906/jedinstvena-kontakt-tacka.php</w:t>
        </w:r>
      </w:hyperlink>
      <w:r>
        <w:t xml:space="preserve"> (accessed on 26 </w:t>
      </w:r>
      <w:proofErr w:type="gramStart"/>
      <w:r>
        <w:t>February,</w:t>
      </w:r>
      <w:proofErr w:type="gramEnd"/>
      <w:r>
        <w:t xml:space="preserve"> 2026).</w:t>
      </w:r>
    </w:p>
  </w:footnote>
  <w:footnote w:id="2">
    <w:p w14:paraId="02307AD7" w14:textId="77777777" w:rsidR="00E50ACD" w:rsidRDefault="00E50ACD" w:rsidP="00E50ACD">
      <w:pPr>
        <w:pStyle w:val="FootnoteText"/>
      </w:pPr>
      <w:r>
        <w:rPr>
          <w:rStyle w:val="FootnoteReference"/>
        </w:rPr>
        <w:footnoteRef/>
      </w:r>
      <w:r>
        <w:t xml:space="preserve"> </w:t>
      </w:r>
      <w:hyperlink r:id="rId2" w:history="1">
        <w:r w:rsidRPr="00DD5194">
          <w:rPr>
            <w:rStyle w:val="Hyperlink"/>
          </w:rPr>
          <w:t>https://ceop.apr.gov.rs/ceopweb/sr-cyrl/home</w:t>
        </w:r>
      </w:hyperlink>
      <w:r>
        <w:t xml:space="preserve"> (accessed on 26 </w:t>
      </w:r>
      <w:proofErr w:type="gramStart"/>
      <w:r>
        <w:t>February,</w:t>
      </w:r>
      <w:proofErr w:type="gramEnd"/>
      <w:r>
        <w:t xml:space="preserve"> 2026).</w:t>
      </w:r>
    </w:p>
  </w:footnote>
  <w:footnote w:id="3">
    <w:p w14:paraId="18E53844" w14:textId="77777777" w:rsidR="00E50ACD" w:rsidRDefault="00E50ACD" w:rsidP="00E50ACD">
      <w:pPr>
        <w:pStyle w:val="FootnoteText"/>
      </w:pPr>
      <w:r>
        <w:rPr>
          <w:rStyle w:val="FootnoteReference"/>
        </w:rPr>
        <w:footnoteRef/>
      </w:r>
      <w:r>
        <w:t xml:space="preserve"> </w:t>
      </w:r>
      <w:hyperlink r:id="rId3" w:history="1">
        <w:r w:rsidRPr="00DD5194">
          <w:rPr>
            <w:rStyle w:val="Hyperlink"/>
          </w:rPr>
          <w:t>https://eur-lex.europa.eu/legal-content/EN/TXT/PDF/?uri=CELEX:32018L2001</w:t>
        </w:r>
      </w:hyperlink>
      <w:r>
        <w:t xml:space="preserve"> (accessed on 26 </w:t>
      </w:r>
      <w:proofErr w:type="gramStart"/>
      <w:r>
        <w:t>February,</w:t>
      </w:r>
      <w:proofErr w:type="gramEnd"/>
      <w:r>
        <w:t xml:space="preserve"> 2026).</w:t>
      </w:r>
    </w:p>
  </w:footnote>
  <w:footnote w:id="4">
    <w:p w14:paraId="2CAC37FD" w14:textId="77777777" w:rsidR="00E50ACD" w:rsidRDefault="00E50ACD" w:rsidP="00E50ACD">
      <w:pPr>
        <w:pStyle w:val="FootnoteText"/>
      </w:pPr>
      <w:r>
        <w:rPr>
          <w:rStyle w:val="FootnoteReference"/>
        </w:rPr>
        <w:footnoteRef/>
      </w:r>
      <w:r>
        <w:t xml:space="preserve"> Ibidem.</w:t>
      </w:r>
    </w:p>
  </w:footnote>
  <w:footnote w:id="5">
    <w:p w14:paraId="41DB1169" w14:textId="77777777" w:rsidR="00E50ACD" w:rsidRDefault="00E50ACD" w:rsidP="00E50ACD">
      <w:pPr>
        <w:pStyle w:val="FootnoteText"/>
      </w:pPr>
      <w:r>
        <w:rPr>
          <w:rStyle w:val="FootnoteReference"/>
        </w:rPr>
        <w:footnoteRef/>
      </w:r>
      <w:r>
        <w:t xml:space="preserve"> </w:t>
      </w:r>
      <w:hyperlink r:id="rId4" w:history="1">
        <w:r w:rsidRPr="00DD5194">
          <w:rPr>
            <w:rStyle w:val="Hyperlink"/>
          </w:rPr>
          <w:t>https://eur-lex.europa.eu/legal-content/EN/TXT/PDF/?uri=CELEX:32018L2001</w:t>
        </w:r>
      </w:hyperlink>
      <w:r>
        <w:t xml:space="preserve"> (accessed on 26 </w:t>
      </w:r>
      <w:proofErr w:type="gramStart"/>
      <w:r>
        <w:t>February,</w:t>
      </w:r>
      <w:proofErr w:type="gramEnd"/>
      <w:r>
        <w:t xml:space="preserve"> 2026).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7F0139"/>
    <w:multiLevelType w:val="hybridMultilevel"/>
    <w:tmpl w:val="3E92BD30"/>
    <w:lvl w:ilvl="0" w:tplc="EC9EF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48E0"/>
    <w:multiLevelType w:val="hybridMultilevel"/>
    <w:tmpl w:val="FF4E2020"/>
    <w:lvl w:ilvl="0" w:tplc="CB447C5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F3378F"/>
    <w:multiLevelType w:val="hybridMultilevel"/>
    <w:tmpl w:val="3CA88A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CB50AA5"/>
    <w:multiLevelType w:val="hybridMultilevel"/>
    <w:tmpl w:val="498A801C"/>
    <w:lvl w:ilvl="0" w:tplc="AB7410C8">
      <w:start w:val="1"/>
      <w:numFmt w:val="decimal"/>
      <w:lvlText w:val="%1."/>
      <w:lvlJc w:val="left"/>
      <w:pPr>
        <w:ind w:left="720" w:hanging="360"/>
      </w:pPr>
      <w:rPr>
        <w:rFonts w:asciiTheme="minorHAnsi" w:eastAsiaTheme="minorHAnsi" w:hAnsiTheme="minorHAnsi" w:cstheme="minorBid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2586693">
    <w:abstractNumId w:val="2"/>
  </w:num>
  <w:num w:numId="2" w16cid:durableId="1488397419">
    <w:abstractNumId w:val="3"/>
  </w:num>
  <w:num w:numId="3" w16cid:durableId="277101163">
    <w:abstractNumId w:val="0"/>
  </w:num>
  <w:num w:numId="4" w16cid:durableId="1507481741">
    <w:abstractNumId w:val="5"/>
  </w:num>
  <w:num w:numId="5" w16cid:durableId="1601985206">
    <w:abstractNumId w:val="4"/>
  </w:num>
  <w:num w:numId="6" w16cid:durableId="214778000">
    <w:abstractNumId w:val="1"/>
  </w:num>
  <w:num w:numId="7" w16cid:durableId="1734963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ACD"/>
    <w:rsid w:val="000C509D"/>
    <w:rsid w:val="003B6E3A"/>
    <w:rsid w:val="004332F5"/>
    <w:rsid w:val="005202D1"/>
    <w:rsid w:val="00595E9B"/>
    <w:rsid w:val="00B36266"/>
    <w:rsid w:val="00CE29C3"/>
    <w:rsid w:val="00D246F0"/>
    <w:rsid w:val="00E50ACD"/>
    <w:rsid w:val="00E76CE8"/>
    <w:rsid w:val="00ED0817"/>
  </w:rsids>
  <m:mathPr>
    <m:mathFont m:val="Cambria Math"/>
    <m:brkBin m:val="before"/>
    <m:brkBinSub m:val="--"/>
    <m:smallFrac m:val="0"/>
    <m:dispDef/>
    <m:lMargin m:val="0"/>
    <m:rMargin m:val="0"/>
    <m:defJc m:val="centerGroup"/>
    <m:wrapIndent m:val="1440"/>
    <m:intLim m:val="subSup"/>
    <m:naryLim m:val="undOvr"/>
  </m:mathPr>
  <w:themeFontLang w:val="en-RS"/>
  <w:clrSchemeMapping w:bg1="light1" w:t1="dark1" w:bg2="light2" w:t2="dark2" w:accent1="accent1" w:accent2="accent2" w:accent3="accent3" w:accent4="accent4" w:accent5="accent5" w:accent6="accent6" w:hyperlink="hyperlink" w:followedHyperlink="followedHyperlink"/>
  <w:decimalSymbol w:val="."/>
  <w:listSeparator w:val=","/>
  <w14:docId w14:val="246A457C"/>
  <w15:chartTrackingRefBased/>
  <w15:docId w15:val="{DBDE62F8-4914-DD40-B1DB-500D819D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ACD"/>
    <w:rPr>
      <w:lang w:val="en-US"/>
    </w:rPr>
  </w:style>
  <w:style w:type="paragraph" w:styleId="Heading1">
    <w:name w:val="heading 1"/>
    <w:basedOn w:val="Normal"/>
    <w:next w:val="Normal"/>
    <w:link w:val="Heading1Char"/>
    <w:uiPriority w:val="9"/>
    <w:qFormat/>
    <w:rsid w:val="00E50A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0A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0A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0A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0A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0A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0A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0AC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0AC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0A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0A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0A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0A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0A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0A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0A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0ACD"/>
    <w:rPr>
      <w:rFonts w:eastAsiaTheme="majorEastAsia" w:cstheme="majorBidi"/>
      <w:color w:val="272727" w:themeColor="text1" w:themeTint="D8"/>
    </w:rPr>
  </w:style>
  <w:style w:type="paragraph" w:styleId="Title">
    <w:name w:val="Title"/>
    <w:basedOn w:val="Normal"/>
    <w:next w:val="Normal"/>
    <w:link w:val="TitleChar"/>
    <w:uiPriority w:val="10"/>
    <w:qFormat/>
    <w:rsid w:val="00E50AC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0A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0AC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0A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0AC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50ACD"/>
    <w:rPr>
      <w:i/>
      <w:iCs/>
      <w:color w:val="404040" w:themeColor="text1" w:themeTint="BF"/>
    </w:rPr>
  </w:style>
  <w:style w:type="paragraph" w:styleId="ListParagraph">
    <w:name w:val="List Paragraph"/>
    <w:basedOn w:val="Normal"/>
    <w:uiPriority w:val="34"/>
    <w:qFormat/>
    <w:rsid w:val="00E50ACD"/>
    <w:pPr>
      <w:ind w:left="720"/>
      <w:contextualSpacing/>
    </w:pPr>
  </w:style>
  <w:style w:type="character" w:styleId="IntenseEmphasis">
    <w:name w:val="Intense Emphasis"/>
    <w:basedOn w:val="DefaultParagraphFont"/>
    <w:uiPriority w:val="21"/>
    <w:qFormat/>
    <w:rsid w:val="00E50ACD"/>
    <w:rPr>
      <w:i/>
      <w:iCs/>
      <w:color w:val="0F4761" w:themeColor="accent1" w:themeShade="BF"/>
    </w:rPr>
  </w:style>
  <w:style w:type="paragraph" w:styleId="IntenseQuote">
    <w:name w:val="Intense Quote"/>
    <w:basedOn w:val="Normal"/>
    <w:next w:val="Normal"/>
    <w:link w:val="IntenseQuoteChar"/>
    <w:uiPriority w:val="30"/>
    <w:qFormat/>
    <w:rsid w:val="00E50A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0ACD"/>
    <w:rPr>
      <w:i/>
      <w:iCs/>
      <w:color w:val="0F4761" w:themeColor="accent1" w:themeShade="BF"/>
    </w:rPr>
  </w:style>
  <w:style w:type="character" w:styleId="IntenseReference">
    <w:name w:val="Intense Reference"/>
    <w:basedOn w:val="DefaultParagraphFont"/>
    <w:uiPriority w:val="32"/>
    <w:qFormat/>
    <w:rsid w:val="00E50ACD"/>
    <w:rPr>
      <w:b/>
      <w:bCs/>
      <w:smallCaps/>
      <w:color w:val="0F4761" w:themeColor="accent1" w:themeShade="BF"/>
      <w:spacing w:val="5"/>
    </w:rPr>
  </w:style>
  <w:style w:type="table" w:styleId="GridTable1Light">
    <w:name w:val="Grid Table 1 Light"/>
    <w:basedOn w:val="TableNormal"/>
    <w:uiPriority w:val="46"/>
    <w:rsid w:val="00E50ACD"/>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E50ACD"/>
    <w:rPr>
      <w:sz w:val="20"/>
      <w:szCs w:val="20"/>
    </w:rPr>
  </w:style>
  <w:style w:type="character" w:customStyle="1" w:styleId="FootnoteTextChar">
    <w:name w:val="Footnote Text Char"/>
    <w:basedOn w:val="DefaultParagraphFont"/>
    <w:link w:val="FootnoteText"/>
    <w:uiPriority w:val="99"/>
    <w:semiHidden/>
    <w:rsid w:val="00E50ACD"/>
    <w:rPr>
      <w:sz w:val="20"/>
      <w:szCs w:val="20"/>
      <w:lang w:val="en-US"/>
    </w:rPr>
  </w:style>
  <w:style w:type="character" w:styleId="FootnoteReference">
    <w:name w:val="footnote reference"/>
    <w:basedOn w:val="DefaultParagraphFont"/>
    <w:uiPriority w:val="99"/>
    <w:semiHidden/>
    <w:unhideWhenUsed/>
    <w:rsid w:val="00E50ACD"/>
    <w:rPr>
      <w:vertAlign w:val="superscript"/>
    </w:rPr>
  </w:style>
  <w:style w:type="character" w:styleId="Hyperlink">
    <w:name w:val="Hyperlink"/>
    <w:basedOn w:val="DefaultParagraphFont"/>
    <w:uiPriority w:val="99"/>
    <w:unhideWhenUsed/>
    <w:rsid w:val="00E50ACD"/>
    <w:rPr>
      <w:color w:val="467886" w:themeColor="hyperlink"/>
      <w:u w:val="single"/>
    </w:rPr>
  </w:style>
  <w:style w:type="paragraph" w:customStyle="1" w:styleId="Compact">
    <w:name w:val="Compact"/>
    <w:basedOn w:val="BodyText"/>
    <w:qFormat/>
    <w:rsid w:val="00E50ACD"/>
    <w:pPr>
      <w:spacing w:before="36" w:after="36"/>
    </w:pPr>
    <w:rPr>
      <w:kern w:val="0"/>
      <w:lang w:val="en"/>
      <w14:ligatures w14:val="none"/>
    </w:rPr>
  </w:style>
  <w:style w:type="character" w:styleId="CommentReference">
    <w:name w:val="annotation reference"/>
    <w:basedOn w:val="DefaultParagraphFont"/>
    <w:uiPriority w:val="99"/>
    <w:semiHidden/>
    <w:unhideWhenUsed/>
    <w:rsid w:val="00E50ACD"/>
    <w:rPr>
      <w:sz w:val="16"/>
      <w:szCs w:val="16"/>
    </w:rPr>
  </w:style>
  <w:style w:type="paragraph" w:styleId="CommentText">
    <w:name w:val="annotation text"/>
    <w:basedOn w:val="Normal"/>
    <w:link w:val="CommentTextChar"/>
    <w:uiPriority w:val="99"/>
    <w:unhideWhenUsed/>
    <w:rsid w:val="00E50ACD"/>
    <w:rPr>
      <w:sz w:val="20"/>
      <w:szCs w:val="20"/>
    </w:rPr>
  </w:style>
  <w:style w:type="character" w:customStyle="1" w:styleId="CommentTextChar">
    <w:name w:val="Comment Text Char"/>
    <w:basedOn w:val="DefaultParagraphFont"/>
    <w:link w:val="CommentText"/>
    <w:uiPriority w:val="99"/>
    <w:rsid w:val="00E50ACD"/>
    <w:rPr>
      <w:sz w:val="20"/>
      <w:szCs w:val="20"/>
      <w:lang w:val="en-US"/>
    </w:rPr>
  </w:style>
  <w:style w:type="paragraph" w:styleId="BodyText">
    <w:name w:val="Body Text"/>
    <w:basedOn w:val="Normal"/>
    <w:link w:val="BodyTextChar"/>
    <w:uiPriority w:val="99"/>
    <w:semiHidden/>
    <w:unhideWhenUsed/>
    <w:rsid w:val="00E50ACD"/>
    <w:pPr>
      <w:spacing w:after="120"/>
    </w:pPr>
  </w:style>
  <w:style w:type="character" w:customStyle="1" w:styleId="BodyTextChar">
    <w:name w:val="Body Text Char"/>
    <w:basedOn w:val="DefaultParagraphFont"/>
    <w:link w:val="BodyText"/>
    <w:uiPriority w:val="99"/>
    <w:semiHidden/>
    <w:rsid w:val="00E50AC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op.apr.gov.rs/ceopweb/sr-cyrl/home" TargetMode="External"/><Relationship Id="rId3" Type="http://schemas.openxmlformats.org/officeDocument/2006/relationships/settings" Target="settings.xml"/><Relationship Id="rId7" Type="http://schemas.openxmlformats.org/officeDocument/2006/relationships/hyperlink" Target="https://www.mre.gov.rs/tekst/sr/13906/jedinstvena-kontakt-tacka.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PDF/?uri=CELEX:32018L2001" TargetMode="External"/><Relationship Id="rId2" Type="http://schemas.openxmlformats.org/officeDocument/2006/relationships/hyperlink" Target="https://ceop.apr.gov.rs/ceopweb/sr-cyrl/home" TargetMode="External"/><Relationship Id="rId1" Type="http://schemas.openxmlformats.org/officeDocument/2006/relationships/hyperlink" Target="https://www.mre.gov.rs/tekst/sr/13906/jedinstvena-kontakt-tacka.php" TargetMode="External"/><Relationship Id="rId4" Type="http://schemas.openxmlformats.org/officeDocument/2006/relationships/hyperlink" Target="https://eur-lex.europa.eu/legal-content/EN/TXT/PDF/?uri=CELEX:32018L2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1508</Words>
  <Characters>9366</Characters>
  <Application>Microsoft Office Word</Application>
  <DocSecurity>0</DocSecurity>
  <Lines>223</Lines>
  <Paragraphs>68</Paragraphs>
  <ScaleCrop>false</ScaleCrop>
  <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4</cp:revision>
  <dcterms:created xsi:type="dcterms:W3CDTF">2026-04-20T10:11:00Z</dcterms:created>
  <dcterms:modified xsi:type="dcterms:W3CDTF">2026-04-24T18:38:00Z</dcterms:modified>
</cp:coreProperties>
</file>